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8E" w:rsidRPr="00D5372C" w:rsidRDefault="000948A7" w:rsidP="001C438F">
      <w:pPr>
        <w:spacing w:before="240" w:after="240" w:line="264" w:lineRule="auto"/>
        <w:rPr>
          <w:rFonts w:cstheme="minorHAnsi"/>
          <w:b/>
        </w:rPr>
      </w:pPr>
      <w:r w:rsidRPr="00D5372C">
        <w:rPr>
          <w:rFonts w:cstheme="minorHAnsi"/>
          <w:b/>
        </w:rPr>
        <w:t>ADDENDA A LA GUIA DOCENT</w:t>
      </w:r>
      <w:r w:rsidR="00D937AA" w:rsidRPr="00D5372C">
        <w:rPr>
          <w:rFonts w:cstheme="minorHAnsi"/>
          <w:b/>
        </w:rPr>
        <w:t xml:space="preserve"> D’ASSIGNATURA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002DC" w:rsidRPr="000F21D1" w:rsidTr="004002DC">
        <w:tc>
          <w:tcPr>
            <w:tcW w:w="9209" w:type="dxa"/>
            <w:gridSpan w:val="2"/>
            <w:shd w:val="clear" w:color="auto" w:fill="0077C8"/>
          </w:tcPr>
          <w:p w:rsidR="004002DC" w:rsidRPr="000F21D1" w:rsidRDefault="004002DC" w:rsidP="00EA3E9C">
            <w:pPr>
              <w:spacing w:before="40" w:after="40"/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Identificadors de l’assignatura</w:t>
            </w:r>
          </w:p>
        </w:tc>
      </w:tr>
      <w:tr w:rsidR="004002D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B158AF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Codi assignatura</w:t>
            </w:r>
          </w:p>
        </w:tc>
        <w:tc>
          <w:tcPr>
            <w:tcW w:w="6237" w:type="dxa"/>
          </w:tcPr>
          <w:p w:rsidR="00B158AF" w:rsidRPr="000F21D1" w:rsidRDefault="006E5C98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220109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D67695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Nom a</w:t>
            </w:r>
            <w:r w:rsidR="00B158AF" w:rsidRPr="00D67695">
              <w:rPr>
                <w:rFonts w:cstheme="minorHAnsi"/>
                <w:b/>
                <w:sz w:val="22"/>
                <w:szCs w:val="22"/>
              </w:rPr>
              <w:t>ssignatura</w:t>
            </w:r>
          </w:p>
        </w:tc>
        <w:tc>
          <w:tcPr>
            <w:tcW w:w="6237" w:type="dxa"/>
          </w:tcPr>
          <w:p w:rsidR="00B158AF" w:rsidRPr="000F21D1" w:rsidRDefault="006E5C98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0948A7">
              <w:rPr>
                <w:rFonts w:cstheme="minorHAnsi"/>
                <w:sz w:val="22"/>
                <w:szCs w:val="22"/>
              </w:rPr>
              <w:t>Disseny d’Experiments i Control de Qualitat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Titulació/titulacions</w:t>
            </w:r>
          </w:p>
        </w:tc>
        <w:tc>
          <w:tcPr>
            <w:tcW w:w="6237" w:type="dxa"/>
          </w:tcPr>
          <w:p w:rsidR="00B158AF" w:rsidRPr="000F21D1" w:rsidRDefault="006E5C98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0948A7">
              <w:rPr>
                <w:rFonts w:cstheme="minorHAnsi"/>
                <w:sz w:val="22"/>
                <w:szCs w:val="22"/>
              </w:rPr>
              <w:t>Grau en Enginyeria en Tecnologies Industrials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EA3E9C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Responsable</w:t>
            </w:r>
            <w:r w:rsidR="00D6769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7695">
              <w:rPr>
                <w:rFonts w:cstheme="minorHAnsi"/>
                <w:b/>
                <w:sz w:val="22"/>
                <w:szCs w:val="22"/>
              </w:rPr>
              <w:t>de l’assignatura</w:t>
            </w:r>
          </w:p>
        </w:tc>
        <w:tc>
          <w:tcPr>
            <w:tcW w:w="6237" w:type="dxa"/>
          </w:tcPr>
          <w:p w:rsidR="00EA3E9C" w:rsidRPr="000F21D1" w:rsidRDefault="006E5C98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Inés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Algaba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Joaquín</w:t>
            </w:r>
          </w:p>
        </w:tc>
      </w:tr>
    </w:tbl>
    <w:p w:rsidR="00745E4E" w:rsidRDefault="00745E4E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  <w:r w:rsidRPr="00984DDB">
        <w:rPr>
          <w:rFonts w:cstheme="minorHAnsi"/>
          <w:sz w:val="22"/>
          <w:szCs w:val="22"/>
        </w:rPr>
        <w:t xml:space="preserve">Com a conseqüència de la crisi sanitària per causa de la Covid19, </w:t>
      </w:r>
      <w:r w:rsidR="001C438F" w:rsidRPr="00984DDB">
        <w:rPr>
          <w:rFonts w:cstheme="minorHAnsi"/>
          <w:sz w:val="22"/>
          <w:szCs w:val="22"/>
        </w:rPr>
        <w:t xml:space="preserve">de manera temporal pel quadrimestre de primavera pel curs </w:t>
      </w:r>
      <w:r w:rsidR="001C438F">
        <w:rPr>
          <w:rFonts w:cstheme="minorHAnsi"/>
          <w:sz w:val="22"/>
          <w:szCs w:val="22"/>
        </w:rPr>
        <w:t>20</w:t>
      </w:r>
      <w:r w:rsidR="001C438F" w:rsidRPr="00984DDB">
        <w:rPr>
          <w:rFonts w:cstheme="minorHAnsi"/>
          <w:sz w:val="22"/>
          <w:szCs w:val="22"/>
        </w:rPr>
        <w:t>19</w:t>
      </w:r>
      <w:r w:rsidR="001C438F">
        <w:rPr>
          <w:rFonts w:cstheme="minorHAnsi"/>
          <w:sz w:val="22"/>
          <w:szCs w:val="22"/>
        </w:rPr>
        <w:t xml:space="preserve">-2020, </w:t>
      </w:r>
      <w:r w:rsidRPr="00984DDB">
        <w:rPr>
          <w:rFonts w:cstheme="minorHAnsi"/>
          <w:sz w:val="22"/>
          <w:szCs w:val="22"/>
        </w:rPr>
        <w:t xml:space="preserve">s'han hagut d'adaptar els </w:t>
      </w:r>
      <w:r w:rsidR="001C438F">
        <w:rPr>
          <w:rFonts w:cstheme="minorHAnsi"/>
          <w:sz w:val="22"/>
          <w:szCs w:val="22"/>
        </w:rPr>
        <w:t>apartats</w:t>
      </w:r>
      <w:r w:rsidRPr="00984DDB">
        <w:rPr>
          <w:rFonts w:cstheme="minorHAnsi"/>
          <w:sz w:val="22"/>
          <w:szCs w:val="22"/>
        </w:rPr>
        <w:t xml:space="preserve"> de la Guia Docent de l'assignatura, </w:t>
      </w:r>
      <w:r w:rsidR="00EA3E9C">
        <w:rPr>
          <w:rFonts w:cstheme="minorHAnsi"/>
          <w:sz w:val="22"/>
          <w:szCs w:val="22"/>
        </w:rPr>
        <w:t>que es detallen a continuació</w:t>
      </w:r>
      <w:r w:rsidR="00D67695">
        <w:rPr>
          <w:rFonts w:cstheme="minorHAnsi"/>
          <w:sz w:val="22"/>
          <w:szCs w:val="22"/>
        </w:rPr>
        <w:t>:</w:t>
      </w:r>
    </w:p>
    <w:tbl>
      <w:tblPr>
        <w:tblStyle w:val="Tablaconcuadrcula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6985"/>
      </w:tblGrid>
      <w:tr w:rsidR="00887112" w:rsidRPr="000F21D1" w:rsidTr="0088711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0077C8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Adaptació a la docència no presencial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Continguts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6E5C98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Sense canvis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 xml:space="preserve">Metodologia docent 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6E5C98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S’incorpora material docent addicional pel seguiment de les classes de teoria i problemes, sessions síncrones d’explicació de continguts i dubtes i fòrums de consultes</w:t>
            </w:r>
          </w:p>
        </w:tc>
      </w:tr>
      <w:tr w:rsidR="00EA3E9C" w:rsidRPr="000F21D1" w:rsidTr="00D5372C">
        <w:tc>
          <w:tcPr>
            <w:tcW w:w="9209" w:type="dxa"/>
            <w:gridSpan w:val="2"/>
            <w:shd w:val="clear" w:color="auto" w:fill="0077C8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Sistema de qualificació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Càlcul de la nota final</w:t>
            </w:r>
          </w:p>
        </w:tc>
        <w:tc>
          <w:tcPr>
            <w:tcW w:w="6985" w:type="dxa"/>
          </w:tcPr>
          <w:p w:rsidR="00EA3E9C" w:rsidRDefault="00EA3E9C" w:rsidP="004002DC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La nota final de l’assignatura tindrà en compte les següents activitats d’avaluació:</w:t>
            </w:r>
          </w:p>
          <w:p w:rsidR="006E5C98" w:rsidRPr="007029B3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Pràctica de control de qualitat: 10% </w:t>
            </w:r>
          </w:p>
          <w:p w:rsidR="006E5C98" w:rsidRPr="00032504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Activitat </w:t>
            </w:r>
            <w:r w:rsidRPr="00032504">
              <w:rPr>
                <w:rFonts w:cstheme="minorHAnsi"/>
                <w:sz w:val="22"/>
                <w:szCs w:val="22"/>
              </w:rPr>
              <w:t>sense canvis</w:t>
            </w:r>
          </w:p>
          <w:p w:rsidR="006E5C98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Pràctica de disseny d'experiments: 10% </w:t>
            </w:r>
          </w:p>
          <w:p w:rsidR="006E5C98" w:rsidRPr="00032504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Activitat</w:t>
            </w:r>
            <w:r w:rsidRPr="00032504">
              <w:rPr>
                <w:rFonts w:cstheme="minorHAnsi"/>
                <w:sz w:val="22"/>
                <w:szCs w:val="22"/>
              </w:rPr>
              <w:t xml:space="preserve"> sense canvis</w:t>
            </w:r>
          </w:p>
          <w:p w:rsidR="006E5C98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Examen parcial: 40%</w:t>
            </w:r>
          </w:p>
          <w:p w:rsidR="006E5C98" w:rsidRPr="007029B3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7029B3">
              <w:rPr>
                <w:rFonts w:cstheme="minorHAnsi"/>
                <w:sz w:val="22"/>
                <w:szCs w:val="22"/>
              </w:rPr>
              <w:t>rova síncrona, mitjançant qüestionaris a Atenea, el dia i hora establerts al calendari d’exàmens parcials</w:t>
            </w:r>
          </w:p>
          <w:p w:rsidR="006E5C98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Control de dissenys factorials i dissenys factorials fraccionats: 10%</w:t>
            </w:r>
          </w:p>
          <w:p w:rsidR="006E5C98" w:rsidRPr="007029B3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7029B3">
              <w:rPr>
                <w:rFonts w:cstheme="minorHAnsi"/>
                <w:sz w:val="22"/>
                <w:szCs w:val="22"/>
              </w:rPr>
              <w:t>rov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029B3">
              <w:rPr>
                <w:rFonts w:cstheme="minorHAnsi"/>
                <w:sz w:val="22"/>
                <w:szCs w:val="22"/>
              </w:rPr>
              <w:t xml:space="preserve"> asíncron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7029B3">
              <w:rPr>
                <w:rFonts w:cstheme="minorHAnsi"/>
                <w:sz w:val="22"/>
                <w:szCs w:val="22"/>
              </w:rPr>
              <w:t>, mitjançant qüestionaris a Atenea a partir de dades individuals per cada estudiant</w:t>
            </w:r>
            <w:r>
              <w:rPr>
                <w:rFonts w:cstheme="minorHAnsi"/>
                <w:sz w:val="22"/>
                <w:szCs w:val="22"/>
              </w:rPr>
              <w:t>, que es realitzarà al llarg del període de classes</w:t>
            </w:r>
          </w:p>
          <w:p w:rsidR="006E5C98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Control de model de dispersió i ponderats: 10%</w:t>
            </w:r>
          </w:p>
          <w:p w:rsidR="006E5C98" w:rsidRPr="00032504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 w:rsidRPr="00032504">
              <w:rPr>
                <w:rFonts w:cstheme="minorHAnsi"/>
                <w:sz w:val="22"/>
                <w:szCs w:val="22"/>
              </w:rPr>
              <w:t>Prova asíncrona, mitjançant qüestionaris a Atenea a partir de dades individuals per cada estudiant, que es realitzarà al llarg del període de classes</w:t>
            </w:r>
          </w:p>
          <w:p w:rsidR="006E5C98" w:rsidRPr="007029B3" w:rsidRDefault="006E5C98" w:rsidP="006E5C98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261" w:hanging="142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Examen final, seqüenciació: 20%</w:t>
            </w:r>
          </w:p>
          <w:p w:rsidR="00EA3E9C" w:rsidRPr="000F21D1" w:rsidRDefault="006E5C98" w:rsidP="006E5C98">
            <w:pPr>
              <w:spacing w:after="120"/>
              <w:ind w:left="26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Prova</w:t>
            </w:r>
            <w:r w:rsidRPr="007029B3">
              <w:rPr>
                <w:rFonts w:cstheme="minorHAnsi"/>
                <w:sz w:val="22"/>
                <w:szCs w:val="22"/>
              </w:rPr>
              <w:t xml:space="preserve"> síncrona, mitjançant qüestionaris a Atenea, el dia i hora establerts al calendari d’exàmens finals. En cas de ser possible, la prova serà presencial.</w:t>
            </w:r>
            <w:r w:rsidR="00D5372C" w:rsidRPr="000F21D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lastRenderedPageBreak/>
              <w:t xml:space="preserve">Reconducció </w:t>
            </w:r>
          </w:p>
        </w:tc>
        <w:tc>
          <w:tcPr>
            <w:tcW w:w="6985" w:type="dxa"/>
          </w:tcPr>
          <w:p w:rsidR="00EA3E9C" w:rsidRPr="000F21D1" w:rsidRDefault="006E5C98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7029B3">
              <w:rPr>
                <w:rFonts w:cstheme="minorHAnsi"/>
                <w:sz w:val="22"/>
                <w:szCs w:val="22"/>
              </w:rPr>
              <w:t>Tots aquells estudiants que no facin l'examen parcial, o que vulguin millorar la qualificaci</w:t>
            </w:r>
            <w:r>
              <w:rPr>
                <w:rFonts w:cstheme="minorHAnsi"/>
                <w:sz w:val="22"/>
                <w:szCs w:val="22"/>
              </w:rPr>
              <w:t>ó</w:t>
            </w:r>
            <w:r w:rsidRPr="007029B3">
              <w:rPr>
                <w:rFonts w:cstheme="minorHAnsi"/>
                <w:sz w:val="22"/>
                <w:szCs w:val="22"/>
              </w:rPr>
              <w:t xml:space="preserve"> obtinguda, tindran l’opci</w:t>
            </w:r>
            <w:r>
              <w:rPr>
                <w:rFonts w:cstheme="minorHAnsi"/>
                <w:sz w:val="22"/>
                <w:szCs w:val="22"/>
              </w:rPr>
              <w:t>ó</w:t>
            </w:r>
            <w:r w:rsidRPr="007029B3">
              <w:rPr>
                <w:rFonts w:cstheme="minorHAnsi"/>
                <w:sz w:val="22"/>
                <w:szCs w:val="22"/>
              </w:rPr>
              <w:t xml:space="preserve">́ de </w:t>
            </w:r>
            <w:r>
              <w:rPr>
                <w:rFonts w:cstheme="minorHAnsi"/>
                <w:sz w:val="22"/>
                <w:szCs w:val="22"/>
              </w:rPr>
              <w:t>reconduir el resultat</w:t>
            </w:r>
            <w:r w:rsidRPr="007029B3">
              <w:rPr>
                <w:rFonts w:cstheme="minorHAnsi"/>
                <w:sz w:val="22"/>
                <w:szCs w:val="22"/>
              </w:rPr>
              <w:t xml:space="preserve"> mitjançant una prova addicional que es far</w:t>
            </w:r>
            <w:r>
              <w:rPr>
                <w:rFonts w:cstheme="minorHAnsi"/>
                <w:sz w:val="22"/>
                <w:szCs w:val="22"/>
              </w:rPr>
              <w:t xml:space="preserve">à </w:t>
            </w:r>
            <w:r w:rsidRPr="007029B3">
              <w:rPr>
                <w:rFonts w:cstheme="minorHAnsi"/>
                <w:sz w:val="22"/>
                <w:szCs w:val="22"/>
              </w:rPr>
              <w:t>el mateix dia fixat per la realitzaci</w:t>
            </w:r>
            <w:r>
              <w:rPr>
                <w:rFonts w:cstheme="minorHAnsi"/>
                <w:sz w:val="22"/>
                <w:szCs w:val="22"/>
              </w:rPr>
              <w:t>ó</w:t>
            </w:r>
            <w:r w:rsidRPr="007029B3">
              <w:rPr>
                <w:rFonts w:cstheme="minorHAnsi"/>
                <w:sz w:val="22"/>
                <w:szCs w:val="22"/>
              </w:rPr>
              <w:t xml:space="preserve"> de l'examen final. La qualificació d'aquesta prova de reconducció estar</w:t>
            </w:r>
            <w:r>
              <w:rPr>
                <w:rFonts w:cstheme="minorHAnsi"/>
                <w:sz w:val="22"/>
                <w:szCs w:val="22"/>
              </w:rPr>
              <w:t>à</w:t>
            </w:r>
            <w:r w:rsidRPr="007029B3">
              <w:rPr>
                <w:rFonts w:cstheme="minorHAnsi"/>
                <w:sz w:val="22"/>
                <w:szCs w:val="22"/>
              </w:rPr>
              <w:t xml:space="preserve"> entre 0 i 10 i substituir</w:t>
            </w:r>
            <w:r>
              <w:rPr>
                <w:rFonts w:cstheme="minorHAnsi"/>
                <w:sz w:val="22"/>
                <w:szCs w:val="22"/>
              </w:rPr>
              <w:t>à</w:t>
            </w:r>
            <w:r w:rsidRPr="007029B3">
              <w:rPr>
                <w:rFonts w:cstheme="minorHAnsi"/>
                <w:sz w:val="22"/>
                <w:szCs w:val="22"/>
              </w:rPr>
              <w:t xml:space="preserve"> la de l'examen parcial sempre i quan sigui superior. Les condicions de realització de la prova seran les mateixes que les de l’examen final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21D1">
              <w:rPr>
                <w:rFonts w:cstheme="minorHAnsi"/>
                <w:b/>
                <w:sz w:val="22"/>
                <w:szCs w:val="22"/>
              </w:rPr>
              <w:t>Reavaluació</w:t>
            </w:r>
            <w:proofErr w:type="spellEnd"/>
          </w:p>
        </w:tc>
        <w:tc>
          <w:tcPr>
            <w:tcW w:w="6985" w:type="dxa"/>
          </w:tcPr>
          <w:p w:rsidR="006E5C98" w:rsidRPr="000F21D1" w:rsidRDefault="006E5C98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7029B3">
              <w:rPr>
                <w:rFonts w:cstheme="minorHAnsi"/>
                <w:sz w:val="22"/>
                <w:szCs w:val="22"/>
              </w:rPr>
              <w:t xml:space="preserve">questa assignatura no té </w:t>
            </w:r>
            <w:proofErr w:type="spellStart"/>
            <w:r w:rsidRPr="007029B3">
              <w:rPr>
                <w:rFonts w:cstheme="minorHAnsi"/>
                <w:sz w:val="22"/>
                <w:szCs w:val="22"/>
              </w:rPr>
              <w:t>reavaluació</w:t>
            </w:r>
            <w:proofErr w:type="spellEnd"/>
          </w:p>
        </w:tc>
      </w:tr>
    </w:tbl>
    <w:p w:rsidR="00EA3E9C" w:rsidRPr="00745E4E" w:rsidRDefault="00EA3E9C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</w:p>
    <w:p w:rsidR="00E526C5" w:rsidRPr="007029B3" w:rsidRDefault="00E526C5" w:rsidP="00E526C5">
      <w:pPr>
        <w:spacing w:after="120" w:line="264" w:lineRule="auto"/>
        <w:rPr>
          <w:rFonts w:cstheme="minorHAnsi"/>
          <w:sz w:val="22"/>
          <w:szCs w:val="22"/>
        </w:rPr>
      </w:pPr>
      <w:bookmarkStart w:id="0" w:name="_GoBack"/>
      <w:bookmarkEnd w:id="0"/>
    </w:p>
    <w:sectPr w:rsidR="00E526C5" w:rsidRPr="007029B3" w:rsidSect="00D937AA">
      <w:headerReference w:type="default" r:id="rId8"/>
      <w:pgSz w:w="11900" w:h="16840"/>
      <w:pgMar w:top="2082" w:right="1127" w:bottom="790" w:left="1559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EA" w:rsidRDefault="00B538EA" w:rsidP="000948A7">
      <w:r>
        <w:separator/>
      </w:r>
    </w:p>
  </w:endnote>
  <w:endnote w:type="continuationSeparator" w:id="0">
    <w:p w:rsidR="00B538EA" w:rsidRDefault="00B538EA" w:rsidP="000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EA" w:rsidRDefault="00B538EA" w:rsidP="000948A7">
      <w:r>
        <w:separator/>
      </w:r>
    </w:p>
  </w:footnote>
  <w:footnote w:type="continuationSeparator" w:id="0">
    <w:p w:rsidR="00B538EA" w:rsidRDefault="00B538EA" w:rsidP="0009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A7" w:rsidRDefault="000948A7" w:rsidP="000948A7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12820E71" wp14:editId="2270D11B">
          <wp:extent cx="2700000" cy="7200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EIAAT-positiu-p30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695">
      <w:tab/>
    </w:r>
    <w:r w:rsidR="00D67695">
      <w:tab/>
    </w:r>
    <w:r w:rsidR="00D67695" w:rsidRPr="00D67695">
      <w:rPr>
        <w:color w:val="767171" w:themeColor="background2" w:themeShade="80"/>
        <w:sz w:val="20"/>
        <w:szCs w:val="20"/>
      </w:rPr>
      <w:t>Abril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110"/>
    <w:multiLevelType w:val="hybridMultilevel"/>
    <w:tmpl w:val="40AC7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F4A"/>
    <w:multiLevelType w:val="hybridMultilevel"/>
    <w:tmpl w:val="4D9EF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645"/>
    <w:multiLevelType w:val="hybridMultilevel"/>
    <w:tmpl w:val="2442800C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1E67F3B"/>
    <w:multiLevelType w:val="hybridMultilevel"/>
    <w:tmpl w:val="33CC889A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1ABD"/>
    <w:multiLevelType w:val="hybridMultilevel"/>
    <w:tmpl w:val="0D30420C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7DB"/>
    <w:multiLevelType w:val="hybridMultilevel"/>
    <w:tmpl w:val="F04EA8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A"/>
    <w:rsid w:val="0002508E"/>
    <w:rsid w:val="0003034F"/>
    <w:rsid w:val="00032504"/>
    <w:rsid w:val="00064C49"/>
    <w:rsid w:val="000948A7"/>
    <w:rsid w:val="000F21D1"/>
    <w:rsid w:val="00113F41"/>
    <w:rsid w:val="00182B45"/>
    <w:rsid w:val="001C438F"/>
    <w:rsid w:val="001E060F"/>
    <w:rsid w:val="001E3F47"/>
    <w:rsid w:val="00207117"/>
    <w:rsid w:val="00291F6B"/>
    <w:rsid w:val="003160BD"/>
    <w:rsid w:val="00387325"/>
    <w:rsid w:val="003F0DCE"/>
    <w:rsid w:val="004002DC"/>
    <w:rsid w:val="00401E8F"/>
    <w:rsid w:val="004054F9"/>
    <w:rsid w:val="00426F3D"/>
    <w:rsid w:val="004A43A6"/>
    <w:rsid w:val="004B1E8F"/>
    <w:rsid w:val="005A1638"/>
    <w:rsid w:val="005D04CD"/>
    <w:rsid w:val="00646FD8"/>
    <w:rsid w:val="006903D7"/>
    <w:rsid w:val="006C52A3"/>
    <w:rsid w:val="006E5C98"/>
    <w:rsid w:val="007029B3"/>
    <w:rsid w:val="00745E4E"/>
    <w:rsid w:val="00750F95"/>
    <w:rsid w:val="007A443A"/>
    <w:rsid w:val="0083531F"/>
    <w:rsid w:val="0087743A"/>
    <w:rsid w:val="00887112"/>
    <w:rsid w:val="00905854"/>
    <w:rsid w:val="0091412E"/>
    <w:rsid w:val="009619DB"/>
    <w:rsid w:val="00A0440E"/>
    <w:rsid w:val="00A60D1D"/>
    <w:rsid w:val="00A923CA"/>
    <w:rsid w:val="00B158AF"/>
    <w:rsid w:val="00B471E1"/>
    <w:rsid w:val="00B538EA"/>
    <w:rsid w:val="00CF6601"/>
    <w:rsid w:val="00D063B3"/>
    <w:rsid w:val="00D20E11"/>
    <w:rsid w:val="00D5372C"/>
    <w:rsid w:val="00D55B77"/>
    <w:rsid w:val="00D67695"/>
    <w:rsid w:val="00D937AA"/>
    <w:rsid w:val="00DA17B4"/>
    <w:rsid w:val="00E526C5"/>
    <w:rsid w:val="00EA3E9C"/>
    <w:rsid w:val="00EF37B3"/>
    <w:rsid w:val="00F26201"/>
    <w:rsid w:val="00F4306B"/>
    <w:rsid w:val="00F9528E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AC5EB"/>
  <w14:defaultImageDpi w14:val="32767"/>
  <w15:chartTrackingRefBased/>
  <w15:docId w15:val="{F1FC4016-6D74-F24A-AD4A-84EE01D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F95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0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160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A6"/>
    <w:rPr>
      <w:rFonts w:ascii="Segoe UI" w:hAnsi="Segoe UI" w:cs="Segoe UI"/>
      <w:sz w:val="18"/>
      <w:szCs w:val="18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50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7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A7"/>
    <w:rPr>
      <w:lang w:val="ca-ES"/>
    </w:rPr>
  </w:style>
  <w:style w:type="table" w:styleId="Tablaconcuadrcula">
    <w:name w:val="Table Grid"/>
    <w:basedOn w:val="Tablanormal"/>
    <w:uiPriority w:val="39"/>
    <w:rsid w:val="00B1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7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F432F-DFA3-6748-BCE2-DAAC909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2020-04-17T14:58:00Z</dcterms:created>
  <dcterms:modified xsi:type="dcterms:W3CDTF">2020-04-17T15:02:00Z</dcterms:modified>
</cp:coreProperties>
</file>